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7E6560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B34DA9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7B58E6" w:rsidP="007E656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7E656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5 Aralık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7E6560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Eylül </w:t>
      </w:r>
      <w:r w:rsidR="000F3A7D">
        <w:rPr>
          <w:rFonts w:ascii="Times New Roman" w:hAnsi="Times New Roman" w:cs="Times New Roman"/>
          <w:b/>
        </w:rPr>
        <w:t xml:space="preserve"> 2014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 xml:space="preserve">Hanehalkı İşgücü İstatistikleri Türkiye İstatistik Kurumu tarafından </w:t>
      </w:r>
      <w:r>
        <w:rPr>
          <w:rFonts w:ascii="Times New Roman" w:hAnsi="Times New Roman" w:cs="Times New Roman"/>
          <w:b/>
        </w:rPr>
        <w:t>15 Aralık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E65DA" w:rsidRDefault="001E65DA" w:rsidP="001E65DA">
      <w:pPr>
        <w:pStyle w:val="Balk2"/>
      </w:pPr>
      <w:r>
        <w:t>Eylül ayı verilerine göre Türkiye’de toplam işsizlik 10,7’ye, tarım dışı işsizlik ise 12,8’e yükseldi. Genç nüfusta ise işsizlik oranı 19,2.</w:t>
      </w:r>
    </w:p>
    <w:p w:rsidR="001E65DA" w:rsidRPr="001E65DA" w:rsidRDefault="001E65DA" w:rsidP="001E65DA"/>
    <w:p w:rsidR="001A195B" w:rsidRDefault="00B53BE3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Eylül</w:t>
      </w:r>
      <w:r w:rsidR="000F3A7D">
        <w:rPr>
          <w:rFonts w:ascii="Times New Roman" w:hAnsi="Times New Roman" w:cs="Times New Roman"/>
        </w:rPr>
        <w:t xml:space="preserve"> 2014</w:t>
      </w:r>
      <w:r w:rsidR="00ED7524" w:rsidRPr="005D1CCA">
        <w:rPr>
          <w:rFonts w:ascii="Times New Roman" w:hAnsi="Times New Roman" w:cs="Times New Roman"/>
        </w:rPr>
        <w:t>’</w:t>
      </w:r>
      <w:r w:rsidR="000F3A7D"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 xml:space="preserve">Türkiye genelinde 15 yaş ve üstü bireylerde istihdam edilen kişi sayısı </w:t>
      </w:r>
      <w:r>
        <w:rPr>
          <w:rFonts w:ascii="Times New Roman" w:hAnsi="Times New Roman" w:cs="Times New Roman"/>
        </w:rPr>
        <w:t>Ağustos</w:t>
      </w:r>
      <w:r w:rsidR="001A195B">
        <w:rPr>
          <w:rFonts w:ascii="Times New Roman" w:hAnsi="Times New Roman" w:cs="Times New Roman"/>
        </w:rPr>
        <w:t xml:space="preserve"> 2014’ten </w:t>
      </w:r>
      <w:r w:rsidR="001A195B" w:rsidRPr="00B53BE3">
        <w:rPr>
          <w:rFonts w:ascii="Times New Roman" w:hAnsi="Times New Roman" w:cs="Times New Roman"/>
        </w:rPr>
        <w:t>gerileyerek 26,</w:t>
      </w:r>
      <w:r w:rsidRPr="00B53BE3">
        <w:rPr>
          <w:rFonts w:ascii="Times New Roman" w:hAnsi="Times New Roman" w:cs="Times New Roman"/>
        </w:rPr>
        <w:t>169</w:t>
      </w:r>
      <w:r w:rsidR="001A195B">
        <w:rPr>
          <w:rFonts w:ascii="Times New Roman" w:hAnsi="Times New Roman" w:cs="Times New Roman"/>
        </w:rPr>
        <w:t xml:space="preserve"> milyon olarak gerçekleşti.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’de 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(</w:t>
      </w:r>
      <w:r w:rsidR="00B53BE3" w:rsidRPr="00B53BE3">
        <w:rPr>
          <w:rFonts w:ascii="Times New Roman" w:hAnsi="Times New Roman" w:cs="Times New Roman"/>
          <w:b/>
          <w:szCs w:val="18"/>
        </w:rPr>
        <w:t>Şubat-Eylül</w:t>
      </w:r>
      <w:r w:rsidR="00774754" w:rsidRPr="00B53BE3">
        <w:rPr>
          <w:rFonts w:ascii="Times New Roman" w:hAnsi="Times New Roman" w:cs="Times New Roman"/>
          <w:b/>
          <w:szCs w:val="18"/>
        </w:rPr>
        <w:t xml:space="preserve"> 2014</w:t>
      </w:r>
      <w:r w:rsidRPr="00B53BE3">
        <w:rPr>
          <w:rFonts w:ascii="Times New Roman" w:hAnsi="Times New Roman" w:cs="Times New Roman"/>
          <w:b/>
          <w:szCs w:val="18"/>
        </w:rPr>
        <w:t>)</w:t>
      </w:r>
    </w:p>
    <w:p w:rsidR="00ED7524" w:rsidRDefault="00B53BE3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53BE3">
        <w:rPr>
          <w:rFonts w:ascii="Times New Roman" w:hAnsi="Times New Roman" w:cs="Times New Roman"/>
          <w:noProof/>
          <w:szCs w:val="18"/>
        </w:rPr>
        <w:drawing>
          <wp:inline distT="0" distB="0" distL="0" distR="0">
            <wp:extent cx="5467350" cy="2743200"/>
            <wp:effectExtent l="0" t="0" r="0" b="0"/>
            <wp:docPr id="5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AA0" w:rsidRDefault="00157358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157358">
        <w:rPr>
          <w:rFonts w:ascii="Times New Roman" w:hAnsi="Times New Roman" w:cs="Times New Roman"/>
          <w:szCs w:val="18"/>
        </w:rPr>
        <w:t xml:space="preserve">Bu </w:t>
      </w:r>
      <w:r>
        <w:rPr>
          <w:rFonts w:ascii="Times New Roman" w:hAnsi="Times New Roman" w:cs="Times New Roman"/>
          <w:szCs w:val="18"/>
        </w:rPr>
        <w:t xml:space="preserve">dönemde, </w:t>
      </w:r>
      <w:r w:rsidRPr="00157358">
        <w:rPr>
          <w:rFonts w:ascii="Times New Roman" w:hAnsi="Times New Roman" w:cs="Times New Roman"/>
          <w:szCs w:val="18"/>
        </w:rPr>
        <w:t xml:space="preserve">15 yaş ve üzeri bireylerde işgücüne dahil olmayanlar </w:t>
      </w:r>
      <w:r w:rsidRPr="00B53BE3">
        <w:rPr>
          <w:rFonts w:ascii="Times New Roman" w:hAnsi="Times New Roman" w:cs="Times New Roman"/>
          <w:szCs w:val="18"/>
        </w:rPr>
        <w:t xml:space="preserve">kadınlarda </w:t>
      </w:r>
      <w:r w:rsidR="00B53BE3" w:rsidRPr="00B53BE3">
        <w:rPr>
          <w:rFonts w:ascii="Times New Roman" w:hAnsi="Times New Roman" w:cs="Times New Roman"/>
          <w:szCs w:val="18"/>
        </w:rPr>
        <w:t>19.948</w:t>
      </w:r>
      <w:r w:rsidRPr="00B53BE3">
        <w:rPr>
          <w:rFonts w:ascii="Times New Roman" w:hAnsi="Times New Roman" w:cs="Times New Roman"/>
          <w:szCs w:val="18"/>
        </w:rPr>
        <w:t>,</w:t>
      </w:r>
      <w:r w:rsidRPr="00157358">
        <w:rPr>
          <w:rFonts w:ascii="Times New Roman" w:hAnsi="Times New Roman" w:cs="Times New Roman"/>
          <w:szCs w:val="18"/>
        </w:rPr>
        <w:t xml:space="preserve"> erkeklerde ise </w:t>
      </w:r>
      <w:r w:rsidR="00B53BE3">
        <w:rPr>
          <w:rFonts w:ascii="Times New Roman" w:hAnsi="Times New Roman" w:cs="Times New Roman"/>
          <w:szCs w:val="18"/>
        </w:rPr>
        <w:t>7.993’e</w:t>
      </w:r>
      <w:r w:rsidRPr="00157358">
        <w:rPr>
          <w:rFonts w:ascii="Times New Roman" w:hAnsi="Times New Roman" w:cs="Times New Roman"/>
          <w:szCs w:val="18"/>
        </w:rPr>
        <w:t xml:space="preserve"> ulaşmış oldu.</w:t>
      </w:r>
      <w:r w:rsidR="00461AA0">
        <w:rPr>
          <w:rFonts w:ascii="Times New Roman" w:hAnsi="Times New Roman" w:cs="Times New Roman"/>
          <w:szCs w:val="18"/>
        </w:rPr>
        <w:t xml:space="preserve"> Tarım </w:t>
      </w:r>
      <w:r w:rsidR="00461AA0" w:rsidRPr="00B53BE3">
        <w:rPr>
          <w:rFonts w:ascii="Times New Roman" w:hAnsi="Times New Roman" w:cs="Times New Roman"/>
          <w:szCs w:val="18"/>
        </w:rPr>
        <w:t>istihdamı 5</w:t>
      </w:r>
      <w:r w:rsidR="00B53BE3">
        <w:rPr>
          <w:rFonts w:ascii="Times New Roman" w:hAnsi="Times New Roman" w:cs="Times New Roman"/>
          <w:szCs w:val="18"/>
        </w:rPr>
        <w:t>.625</w:t>
      </w:r>
      <w:r w:rsidR="001A195B">
        <w:rPr>
          <w:rFonts w:ascii="Times New Roman" w:hAnsi="Times New Roman" w:cs="Times New Roman"/>
          <w:szCs w:val="18"/>
        </w:rPr>
        <w:t xml:space="preserve"> 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A195B" w:rsidRPr="00B53BE3">
        <w:rPr>
          <w:rFonts w:ascii="Times New Roman" w:hAnsi="Times New Roman" w:cs="Times New Roman"/>
          <w:szCs w:val="18"/>
        </w:rPr>
        <w:t>20</w:t>
      </w:r>
      <w:r w:rsidR="00B53BE3">
        <w:rPr>
          <w:rFonts w:ascii="Times New Roman" w:hAnsi="Times New Roman" w:cs="Times New Roman"/>
          <w:szCs w:val="18"/>
        </w:rPr>
        <w:t>.</w:t>
      </w:r>
      <w:r w:rsidR="00B53BE3" w:rsidRPr="00B53BE3">
        <w:rPr>
          <w:rFonts w:ascii="Times New Roman" w:hAnsi="Times New Roman" w:cs="Times New Roman"/>
          <w:szCs w:val="18"/>
        </w:rPr>
        <w:t>545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 İş gücüne dahil olmayanlar </w:t>
      </w:r>
      <w:r w:rsidR="001A195B" w:rsidRPr="00B53BE3">
        <w:rPr>
          <w:rFonts w:ascii="Times New Roman" w:hAnsi="Times New Roman" w:cs="Times New Roman"/>
          <w:szCs w:val="18"/>
        </w:rPr>
        <w:t>ise 27</w:t>
      </w:r>
      <w:r w:rsidR="00B53BE3" w:rsidRPr="00B53BE3">
        <w:rPr>
          <w:rFonts w:ascii="Times New Roman" w:hAnsi="Times New Roman" w:cs="Times New Roman"/>
          <w:szCs w:val="18"/>
        </w:rPr>
        <w:t>.</w:t>
      </w:r>
      <w:r w:rsidR="00B53BE3">
        <w:rPr>
          <w:rFonts w:ascii="Times New Roman" w:hAnsi="Times New Roman" w:cs="Times New Roman"/>
          <w:szCs w:val="18"/>
        </w:rPr>
        <w:t>942</w:t>
      </w:r>
      <w:r w:rsidR="001A195B">
        <w:rPr>
          <w:rFonts w:ascii="Times New Roman" w:hAnsi="Times New Roman" w:cs="Times New Roman"/>
          <w:szCs w:val="18"/>
        </w:rPr>
        <w:t xml:space="preserve"> milyon kişiye ulaştı.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</w:t>
      </w:r>
      <w:r w:rsidR="00363F3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Eylül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2014</w:t>
      </w:r>
    </w:p>
    <w:p w:rsidR="00774754" w:rsidRDefault="00363F39" w:rsidP="00ED7524">
      <w:pPr>
        <w:spacing w:line="360" w:lineRule="auto"/>
        <w:rPr>
          <w:rFonts w:ascii="Times New Roman" w:hAnsi="Times New Roman" w:cs="Times New Roman"/>
          <w:sz w:val="24"/>
        </w:rPr>
      </w:pPr>
      <w:r w:rsidRPr="00363F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72810" cy="2602230"/>
            <wp:effectExtent l="0" t="0" r="0" b="0"/>
            <wp:docPr id="6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195B" w:rsidRDefault="001A195B" w:rsidP="001E65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İşgücüne katılma oranı kadınlarda yüzde 3</w:t>
      </w:r>
      <w:r w:rsidR="00363F3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</w:t>
      </w:r>
      <w:r w:rsidR="00363F3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erkeklerde yüzde 7</w:t>
      </w:r>
      <w:r w:rsidR="00363F3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,1 olarak gerçekleşti.  İstihdam oranı ise kadınlarda yüzde 2</w:t>
      </w:r>
      <w:r w:rsidR="00363F39">
        <w:rPr>
          <w:rFonts w:ascii="Times New Roman" w:hAnsi="Times New Roman" w:cs="Times New Roman"/>
          <w:sz w:val="24"/>
        </w:rPr>
        <w:t>9,7</w:t>
      </w:r>
      <w:r>
        <w:rPr>
          <w:rFonts w:ascii="Times New Roman" w:hAnsi="Times New Roman" w:cs="Times New Roman"/>
          <w:sz w:val="24"/>
        </w:rPr>
        <w:t xml:space="preserve">, erkeklerde yüzde </w:t>
      </w:r>
      <w:r w:rsidR="00363F39"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 xml:space="preserve"> oldu. </w:t>
      </w:r>
      <w:r w:rsidRPr="005D1CCA">
        <w:rPr>
          <w:rFonts w:ascii="Times New Roman" w:hAnsi="Times New Roman" w:cs="Times New Roman"/>
        </w:rPr>
        <w:t xml:space="preserve">Türkiye genelinde </w:t>
      </w:r>
      <w:r>
        <w:rPr>
          <w:rFonts w:ascii="Times New Roman" w:hAnsi="Times New Roman" w:cs="Times New Roman"/>
        </w:rPr>
        <w:t>15 yaş ve üstündeki bireylerde işsiz s</w:t>
      </w:r>
      <w:r w:rsidRPr="005D1CCA">
        <w:rPr>
          <w:rFonts w:ascii="Times New Roman" w:hAnsi="Times New Roman" w:cs="Times New Roman"/>
        </w:rPr>
        <w:t xml:space="preserve">ayısı </w:t>
      </w:r>
      <w:r w:rsidR="00363F39">
        <w:rPr>
          <w:rFonts w:ascii="Times New Roman" w:hAnsi="Times New Roman" w:cs="Times New Roman"/>
        </w:rPr>
        <w:t>3</w:t>
      </w:r>
      <w:r w:rsidRPr="005D1CCA">
        <w:rPr>
          <w:rFonts w:ascii="Times New Roman" w:hAnsi="Times New Roman" w:cs="Times New Roman"/>
        </w:rPr>
        <w:t xml:space="preserve"> milyon </w:t>
      </w:r>
      <w:r w:rsidR="00363F39">
        <w:rPr>
          <w:rFonts w:ascii="Times New Roman" w:hAnsi="Times New Roman" w:cs="Times New Roman"/>
        </w:rPr>
        <w:t>64</w:t>
      </w:r>
      <w:r w:rsidRPr="005D1CCA">
        <w:rPr>
          <w:rFonts w:ascii="Times New Roman" w:hAnsi="Times New Roman" w:cs="Times New Roman"/>
        </w:rPr>
        <w:t xml:space="preserve"> bin</w:t>
      </w:r>
      <w:r>
        <w:rPr>
          <w:rFonts w:ascii="Times New Roman" w:hAnsi="Times New Roman" w:cs="Times New Roman"/>
        </w:rPr>
        <w:t xml:space="preserve"> kişiye çıktı. İşsizlik oranı bu artışla toplamda yüzde 10</w:t>
      </w:r>
      <w:r w:rsidR="00363F39">
        <w:rPr>
          <w:rFonts w:ascii="Times New Roman" w:hAnsi="Times New Roman" w:cs="Times New Roman"/>
        </w:rPr>
        <w:t>,</w:t>
      </w:r>
      <w:r w:rsidR="00B7170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; kadınlarda yüzde 1</w:t>
      </w:r>
      <w:r w:rsidR="00B717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B7170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erkeklerde ise yüzde </w:t>
      </w:r>
      <w:r w:rsidR="00B7170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B717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’</w:t>
      </w:r>
      <w:r w:rsidR="00B7170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ulaşmış oldu.  </w:t>
      </w:r>
    </w:p>
    <w:p w:rsidR="00ED7524" w:rsidRPr="00461AA0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yüzde </w:t>
      </w:r>
      <w:r w:rsidR="00461AA0" w:rsidRPr="00461AA0">
        <w:rPr>
          <w:rFonts w:ascii="Times New Roman" w:hAnsi="Times New Roman" w:cs="Times New Roman"/>
          <w:b/>
          <w:szCs w:val="18"/>
        </w:rPr>
        <w:t xml:space="preserve">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B71707">
        <w:rPr>
          <w:rFonts w:ascii="Times New Roman" w:hAnsi="Times New Roman" w:cs="Times New Roman"/>
          <w:b/>
          <w:szCs w:val="18"/>
        </w:rPr>
        <w:t xml:space="preserve">Eylül </w:t>
      </w:r>
      <w:r w:rsidR="00461AA0" w:rsidRPr="00461AA0">
        <w:rPr>
          <w:rFonts w:ascii="Times New Roman" w:hAnsi="Times New Roman" w:cs="Times New Roman"/>
          <w:b/>
          <w:szCs w:val="18"/>
        </w:rPr>
        <w:t>2014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ED7524" w:rsidRDefault="00363F39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363F39">
        <w:rPr>
          <w:rFonts w:ascii="Times New Roman" w:hAnsi="Times New Roman" w:cs="Times New Roman"/>
          <w:noProof/>
          <w:szCs w:val="18"/>
        </w:rPr>
        <w:drawing>
          <wp:inline distT="0" distB="0" distL="0" distR="0">
            <wp:extent cx="5953125" cy="2743200"/>
            <wp:effectExtent l="0" t="0" r="0" b="0"/>
            <wp:docPr id="8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C9" w:rsidRDefault="008820C9" w:rsidP="00C04441">
      <w:pPr>
        <w:spacing w:after="0" w:line="240" w:lineRule="auto"/>
      </w:pPr>
      <w:r>
        <w:separator/>
      </w:r>
    </w:p>
  </w:endnote>
  <w:endnote w:type="continuationSeparator" w:id="0">
    <w:p w:rsidR="008820C9" w:rsidRDefault="008820C9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C9" w:rsidRDefault="008820C9" w:rsidP="00C04441">
      <w:pPr>
        <w:spacing w:after="0" w:line="240" w:lineRule="auto"/>
      </w:pPr>
      <w:r>
        <w:separator/>
      </w:r>
    </w:p>
  </w:footnote>
  <w:footnote w:type="continuationSeparator" w:id="0">
    <w:p w:rsidR="008820C9" w:rsidRDefault="008820C9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0F3A7D"/>
    <w:rsid w:val="001243A0"/>
    <w:rsid w:val="00157358"/>
    <w:rsid w:val="00160C8F"/>
    <w:rsid w:val="001A195B"/>
    <w:rsid w:val="001E11A2"/>
    <w:rsid w:val="001E5A63"/>
    <w:rsid w:val="001E65DA"/>
    <w:rsid w:val="001F7633"/>
    <w:rsid w:val="00233BD5"/>
    <w:rsid w:val="002B53E4"/>
    <w:rsid w:val="002D3E19"/>
    <w:rsid w:val="00351561"/>
    <w:rsid w:val="00357954"/>
    <w:rsid w:val="00363F39"/>
    <w:rsid w:val="003641B3"/>
    <w:rsid w:val="003A57CB"/>
    <w:rsid w:val="00424CC0"/>
    <w:rsid w:val="00432DF5"/>
    <w:rsid w:val="00461AA0"/>
    <w:rsid w:val="00517288"/>
    <w:rsid w:val="00522A6C"/>
    <w:rsid w:val="005405F5"/>
    <w:rsid w:val="005500E3"/>
    <w:rsid w:val="0056193B"/>
    <w:rsid w:val="00574C38"/>
    <w:rsid w:val="005C53F8"/>
    <w:rsid w:val="006020BD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E6560"/>
    <w:rsid w:val="008820C9"/>
    <w:rsid w:val="008A575D"/>
    <w:rsid w:val="008C2C15"/>
    <w:rsid w:val="008C7F9E"/>
    <w:rsid w:val="008D1077"/>
    <w:rsid w:val="00907E0D"/>
    <w:rsid w:val="00923FD3"/>
    <w:rsid w:val="00935B34"/>
    <w:rsid w:val="00995BB7"/>
    <w:rsid w:val="009A6E86"/>
    <w:rsid w:val="009F0A83"/>
    <w:rsid w:val="009F54F1"/>
    <w:rsid w:val="00A705F6"/>
    <w:rsid w:val="00A77365"/>
    <w:rsid w:val="00AD2065"/>
    <w:rsid w:val="00B27A6A"/>
    <w:rsid w:val="00B34DA9"/>
    <w:rsid w:val="00B53BE3"/>
    <w:rsid w:val="00B71707"/>
    <w:rsid w:val="00BC294E"/>
    <w:rsid w:val="00BC5F10"/>
    <w:rsid w:val="00C04441"/>
    <w:rsid w:val="00C144CC"/>
    <w:rsid w:val="00C21D8B"/>
    <w:rsid w:val="00CC7D5F"/>
    <w:rsid w:val="00D2299D"/>
    <w:rsid w:val="00D23355"/>
    <w:rsid w:val="00DB1389"/>
    <w:rsid w:val="00DC5FDC"/>
    <w:rsid w:val="00DE7934"/>
    <w:rsid w:val="00E619A9"/>
    <w:rsid w:val="00ED7524"/>
    <w:rsid w:val="00EF4E45"/>
    <w:rsid w:val="00EF778F"/>
    <w:rsid w:val="00F061D6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lgi\Desktop\Kitap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lgi\Desktop\Kitap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lgi\Desktop\Kitap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cat>
            <c:numRef>
              <c:f>Sayfa1!$B$3:$B$10</c:f>
              <c:numCache>
                <c:formatCode>mmm/yy</c:formatCode>
                <c:ptCount val="8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</c:numCache>
            </c:numRef>
          </c:cat>
          <c:val>
            <c:numRef>
              <c:f>Sayfa1!$C$3:$C$10</c:f>
              <c:numCache>
                <c:formatCode>###\ ###\ ###</c:formatCode>
                <c:ptCount val="8"/>
                <c:pt idx="0">
                  <c:v>24999</c:v>
                </c:pt>
                <c:pt idx="1">
                  <c:v>25583</c:v>
                </c:pt>
                <c:pt idx="2">
                  <c:v>26194</c:v>
                </c:pt>
                <c:pt idx="3">
                  <c:v>26538</c:v>
                </c:pt>
                <c:pt idx="4">
                  <c:v>26586</c:v>
                </c:pt>
                <c:pt idx="5">
                  <c:v>26410</c:v>
                </c:pt>
                <c:pt idx="6">
                  <c:v>26313</c:v>
                </c:pt>
                <c:pt idx="7">
                  <c:v>26169</c:v>
                </c:pt>
              </c:numCache>
            </c:numRef>
          </c:val>
        </c:ser>
        <c:marker val="1"/>
        <c:axId val="130784256"/>
        <c:axId val="130806528"/>
      </c:lineChart>
      <c:dateAx>
        <c:axId val="13078425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130806528"/>
        <c:crosses val="autoZero"/>
        <c:auto val="1"/>
        <c:lblOffset val="100"/>
      </c:dateAx>
      <c:valAx>
        <c:axId val="130806528"/>
        <c:scaling>
          <c:orientation val="minMax"/>
        </c:scaling>
        <c:axPos val="l"/>
        <c:majorGridlines/>
        <c:numFmt formatCode="###\ ###\ ###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1307842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Sayfa2!$B$13</c:f>
              <c:strCache>
                <c:ptCount val="1"/>
                <c:pt idx="0">
                  <c:v>Toplam</c:v>
                </c:pt>
              </c:strCache>
            </c:strRef>
          </c:tx>
          <c:cat>
            <c:strRef>
              <c:f>Sayfa2!$A$15:$A$21</c:f>
              <c:strCache>
                <c:ptCount val="7"/>
                <c:pt idx="0">
                  <c:v>Nüfus (Bin kişi)</c:v>
                </c:pt>
                <c:pt idx="1">
                  <c:v>İşgücü (Bin kişi)</c:v>
                </c:pt>
                <c:pt idx="2">
                  <c:v>İstihdam (Bin kişi)</c:v>
                </c:pt>
                <c:pt idx="3">
                  <c:v>Tarım istihdamı (Bin kişi)</c:v>
                </c:pt>
                <c:pt idx="4">
                  <c:v>Tarım dışı istihdam (Bin kişi)</c:v>
                </c:pt>
                <c:pt idx="5">
                  <c:v>İşsiz (Bin kişi)</c:v>
                </c:pt>
                <c:pt idx="6">
                  <c:v>İş gücüne dahil olmayanlar (Bin kişi)</c:v>
                </c:pt>
              </c:strCache>
            </c:strRef>
          </c:cat>
          <c:val>
            <c:numRef>
              <c:f>Sayfa2!$B$15:$B$21</c:f>
              <c:numCache>
                <c:formatCode>General</c:formatCode>
                <c:ptCount val="7"/>
                <c:pt idx="0">
                  <c:v>57175</c:v>
                </c:pt>
                <c:pt idx="1">
                  <c:v>29233</c:v>
                </c:pt>
                <c:pt idx="2">
                  <c:v>26169</c:v>
                </c:pt>
                <c:pt idx="3">
                  <c:v>5625</c:v>
                </c:pt>
                <c:pt idx="4">
                  <c:v>20545</c:v>
                </c:pt>
                <c:pt idx="5">
                  <c:v>3064</c:v>
                </c:pt>
                <c:pt idx="6">
                  <c:v>27942</c:v>
                </c:pt>
              </c:numCache>
            </c:numRef>
          </c:val>
        </c:ser>
        <c:ser>
          <c:idx val="1"/>
          <c:order val="1"/>
          <c:tx>
            <c:strRef>
              <c:f>Sayfa2!$C$13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cat>
            <c:strRef>
              <c:f>Sayfa2!$A$15:$A$21</c:f>
              <c:strCache>
                <c:ptCount val="7"/>
                <c:pt idx="0">
                  <c:v>Nüfus (Bin kişi)</c:v>
                </c:pt>
                <c:pt idx="1">
                  <c:v>İşgücü (Bin kişi)</c:v>
                </c:pt>
                <c:pt idx="2">
                  <c:v>İstihdam (Bin kişi)</c:v>
                </c:pt>
                <c:pt idx="3">
                  <c:v>Tarım istihdamı (Bin kişi)</c:v>
                </c:pt>
                <c:pt idx="4">
                  <c:v>Tarım dışı istihdam (Bin kişi)</c:v>
                </c:pt>
                <c:pt idx="5">
                  <c:v>İşsiz (Bin kişi)</c:v>
                </c:pt>
                <c:pt idx="6">
                  <c:v>İş gücüne dahil olmayanlar (Bin kişi)</c:v>
                </c:pt>
              </c:strCache>
            </c:strRef>
          </c:cat>
          <c:val>
            <c:numRef>
              <c:f>Sayfa2!$C$15:$C$21</c:f>
              <c:numCache>
                <c:formatCode>General</c:formatCode>
                <c:ptCount val="7"/>
                <c:pt idx="0">
                  <c:v>28238</c:v>
                </c:pt>
                <c:pt idx="1">
                  <c:v>20244</c:v>
                </c:pt>
                <c:pt idx="2">
                  <c:v>18400</c:v>
                </c:pt>
                <c:pt idx="3">
                  <c:v>2954</c:v>
                </c:pt>
                <c:pt idx="4">
                  <c:v>15447</c:v>
                </c:pt>
                <c:pt idx="5">
                  <c:v>1844</c:v>
                </c:pt>
                <c:pt idx="6">
                  <c:v>7993</c:v>
                </c:pt>
              </c:numCache>
            </c:numRef>
          </c:val>
        </c:ser>
        <c:ser>
          <c:idx val="2"/>
          <c:order val="2"/>
          <c:tx>
            <c:strRef>
              <c:f>Sayfa2!$D$13</c:f>
              <c:strCache>
                <c:ptCount val="1"/>
                <c:pt idx="0">
                  <c:v>Kadın</c:v>
                </c:pt>
              </c:strCache>
            </c:strRef>
          </c:tx>
          <c:cat>
            <c:strRef>
              <c:f>Sayfa2!$A$15:$A$21</c:f>
              <c:strCache>
                <c:ptCount val="7"/>
                <c:pt idx="0">
                  <c:v>Nüfus (Bin kişi)</c:v>
                </c:pt>
                <c:pt idx="1">
                  <c:v>İşgücü (Bin kişi)</c:v>
                </c:pt>
                <c:pt idx="2">
                  <c:v>İstihdam (Bin kişi)</c:v>
                </c:pt>
                <c:pt idx="3">
                  <c:v>Tarım istihdamı (Bin kişi)</c:v>
                </c:pt>
                <c:pt idx="4">
                  <c:v>Tarım dışı istihdam (Bin kişi)</c:v>
                </c:pt>
                <c:pt idx="5">
                  <c:v>İşsiz (Bin kişi)</c:v>
                </c:pt>
                <c:pt idx="6">
                  <c:v>İş gücüne dahil olmayanlar (Bin kişi)</c:v>
                </c:pt>
              </c:strCache>
            </c:strRef>
          </c:cat>
          <c:val>
            <c:numRef>
              <c:f>Sayfa2!$D$15:$D$21</c:f>
              <c:numCache>
                <c:formatCode>General</c:formatCode>
                <c:ptCount val="7"/>
                <c:pt idx="0">
                  <c:v>28937</c:v>
                </c:pt>
                <c:pt idx="1">
                  <c:v>8989</c:v>
                </c:pt>
                <c:pt idx="2">
                  <c:v>7769</c:v>
                </c:pt>
                <c:pt idx="3">
                  <c:v>2671</c:v>
                </c:pt>
                <c:pt idx="4">
                  <c:v>5098</c:v>
                </c:pt>
                <c:pt idx="5">
                  <c:v>1220</c:v>
                </c:pt>
                <c:pt idx="6">
                  <c:v>19948</c:v>
                </c:pt>
              </c:numCache>
            </c:numRef>
          </c:val>
        </c:ser>
        <c:axId val="131037824"/>
        <c:axId val="131076480"/>
      </c:barChart>
      <c:catAx>
        <c:axId val="131037824"/>
        <c:scaling>
          <c:orientation val="minMax"/>
        </c:scaling>
        <c:axPos val="b"/>
        <c:tickLblPos val="nextTo"/>
        <c:crossAx val="131076480"/>
        <c:crosses val="autoZero"/>
        <c:auto val="1"/>
        <c:lblAlgn val="ctr"/>
        <c:lblOffset val="100"/>
      </c:catAx>
      <c:valAx>
        <c:axId val="131076480"/>
        <c:scaling>
          <c:orientation val="minMax"/>
        </c:scaling>
        <c:axPos val="l"/>
        <c:majorGridlines/>
        <c:numFmt formatCode="#,##0" sourceLinked="0"/>
        <c:tickLblPos val="nextTo"/>
        <c:crossAx val="13103782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Sayfa1!$P$19</c:f>
              <c:strCache>
                <c:ptCount val="1"/>
                <c:pt idx="0">
                  <c:v>Toplam</c:v>
                </c:pt>
              </c:strCache>
            </c:strRef>
          </c:tx>
          <c:dLbls>
            <c:showVal val="1"/>
          </c:dLbls>
          <c:cat>
            <c:strRef>
              <c:f>Sayfa1!$O$20:$O$23</c:f>
              <c:strCache>
                <c:ptCount val="4"/>
                <c:pt idx="0">
                  <c:v>İşgücüne katılma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işsizlik oranı (%)</c:v>
                </c:pt>
              </c:strCache>
            </c:strRef>
          </c:cat>
          <c:val>
            <c:numRef>
              <c:f>Sayfa1!$P$20:$P$23</c:f>
              <c:numCache>
                <c:formatCode>General</c:formatCode>
                <c:ptCount val="4"/>
                <c:pt idx="0">
                  <c:v>55.8</c:v>
                </c:pt>
                <c:pt idx="1">
                  <c:v>49.9</c:v>
                </c:pt>
                <c:pt idx="2">
                  <c:v>10.7</c:v>
                </c:pt>
                <c:pt idx="3">
                  <c:v>12.8</c:v>
                </c:pt>
              </c:numCache>
            </c:numRef>
          </c:val>
        </c:ser>
        <c:ser>
          <c:idx val="1"/>
          <c:order val="1"/>
          <c:tx>
            <c:strRef>
              <c:f>Sayfa1!$Q$19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howVal val="1"/>
          </c:dLbls>
          <c:cat>
            <c:strRef>
              <c:f>Sayfa1!$O$20:$O$23</c:f>
              <c:strCache>
                <c:ptCount val="4"/>
                <c:pt idx="0">
                  <c:v>İşgücüne katılma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işsizlik oranı (%)</c:v>
                </c:pt>
              </c:strCache>
            </c:strRef>
          </c:cat>
          <c:val>
            <c:numRef>
              <c:f>Sayfa1!$Q$20:$Q$23</c:f>
              <c:numCache>
                <c:formatCode>General</c:formatCode>
                <c:ptCount val="4"/>
                <c:pt idx="0">
                  <c:v>77.099999999999994</c:v>
                </c:pt>
                <c:pt idx="1">
                  <c:v>70</c:v>
                </c:pt>
                <c:pt idx="2">
                  <c:v>9.3000000000000007</c:v>
                </c:pt>
                <c:pt idx="3">
                  <c:v>10.4</c:v>
                </c:pt>
              </c:numCache>
            </c:numRef>
          </c:val>
        </c:ser>
        <c:ser>
          <c:idx val="2"/>
          <c:order val="2"/>
          <c:tx>
            <c:strRef>
              <c:f>Sayfa1!$R$19</c:f>
              <c:strCache>
                <c:ptCount val="1"/>
                <c:pt idx="0">
                  <c:v>Kadın</c:v>
                </c:pt>
              </c:strCache>
            </c:strRef>
          </c:tx>
          <c:dLbls>
            <c:showVal val="1"/>
          </c:dLbls>
          <c:cat>
            <c:strRef>
              <c:f>Sayfa1!$O$20:$O$23</c:f>
              <c:strCache>
                <c:ptCount val="4"/>
                <c:pt idx="0">
                  <c:v>İşgücüne katılma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işsizlik oranı (%)</c:v>
                </c:pt>
              </c:strCache>
            </c:strRef>
          </c:cat>
          <c:val>
            <c:numRef>
              <c:f>Sayfa1!$R$20:$R$23</c:f>
              <c:numCache>
                <c:formatCode>General</c:formatCode>
                <c:ptCount val="4"/>
                <c:pt idx="0">
                  <c:v>34.5</c:v>
                </c:pt>
                <c:pt idx="1">
                  <c:v>29.7</c:v>
                </c:pt>
                <c:pt idx="2">
                  <c:v>13.8</c:v>
                </c:pt>
                <c:pt idx="3">
                  <c:v>19.2</c:v>
                </c:pt>
              </c:numCache>
            </c:numRef>
          </c:val>
        </c:ser>
        <c:axId val="137904128"/>
        <c:axId val="137906816"/>
      </c:barChart>
      <c:catAx>
        <c:axId val="137904128"/>
        <c:scaling>
          <c:orientation val="minMax"/>
        </c:scaling>
        <c:axPos val="b"/>
        <c:tickLblPos val="nextTo"/>
        <c:crossAx val="137906816"/>
        <c:crosses val="autoZero"/>
        <c:auto val="1"/>
        <c:lblAlgn val="ctr"/>
        <c:lblOffset val="100"/>
      </c:catAx>
      <c:valAx>
        <c:axId val="1379068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r-TR"/>
                  <a:t>Yüzde</a:t>
                </a:r>
              </a:p>
            </c:rich>
          </c:tx>
        </c:title>
        <c:numFmt formatCode="General" sourceLinked="1"/>
        <c:tickLblPos val="nextTo"/>
        <c:crossAx val="13790412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0F4F-9CCC-46DA-BD68-C2A50D4E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2014-12-15T15:40:00Z</dcterms:created>
  <dcterms:modified xsi:type="dcterms:W3CDTF">2014-12-15T15:40:00Z</dcterms:modified>
</cp:coreProperties>
</file>